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A33" w:rsidRPr="00A02AD3" w:rsidRDefault="00355ED0" w:rsidP="00A02AD3">
      <w:pPr>
        <w:jc w:val="center"/>
        <w:rPr>
          <w:rFonts w:ascii="Palatino Linotype" w:hAnsi="Palatino Linotype"/>
          <w:sz w:val="36"/>
          <w:szCs w:val="36"/>
          <w:lang w:val="en-US"/>
        </w:rPr>
      </w:pPr>
      <w:r w:rsidRPr="00A02AD3">
        <w:rPr>
          <w:rFonts w:ascii="Palatino Linotype" w:hAnsi="Palatino Linotype"/>
          <w:sz w:val="36"/>
          <w:szCs w:val="36"/>
          <w:lang w:val="en-US"/>
        </w:rPr>
        <w:t>Institute for Climate Change and Adaptation</w:t>
      </w:r>
    </w:p>
    <w:p w:rsidR="00FB081D" w:rsidRDefault="00355ED0" w:rsidP="00FB081D">
      <w:pPr>
        <w:rPr>
          <w:rFonts w:ascii="Palatino Linotype" w:hAnsi="Palatino Linotype"/>
          <w:b/>
          <w:sz w:val="28"/>
          <w:szCs w:val="28"/>
          <w:lang w:val="en-US"/>
        </w:rPr>
      </w:pPr>
      <w:r w:rsidRPr="00ED06C1">
        <w:rPr>
          <w:rFonts w:ascii="Palatino Linotype" w:hAnsi="Palatino Linotype"/>
          <w:b/>
          <w:sz w:val="28"/>
          <w:szCs w:val="28"/>
          <w:lang w:val="en-US"/>
        </w:rPr>
        <w:t>Introduction</w:t>
      </w:r>
    </w:p>
    <w:p w:rsidR="00355ED0" w:rsidRPr="00FC34A8" w:rsidRDefault="00355ED0" w:rsidP="00FB081D">
      <w:pPr>
        <w:rPr>
          <w:rFonts w:ascii="Palatino Linotype" w:hAnsi="Palatino Linotype"/>
          <w:sz w:val="24"/>
          <w:szCs w:val="24"/>
        </w:rPr>
      </w:pPr>
      <w:r w:rsidRPr="00FC34A8">
        <w:rPr>
          <w:rFonts w:ascii="Palatino Linotype" w:hAnsi="Palatino Linotype"/>
          <w:sz w:val="24"/>
        </w:rPr>
        <w:t xml:space="preserve">Climate studies and modelling experiments indicate that the anthropogenically-driven rise in global temperatures and land-use changes may adversely affect existing climatic, hydrological and environmental conditions. Multiple stresses make most of </w:t>
      </w:r>
      <w:r>
        <w:rPr>
          <w:rFonts w:ascii="Palatino Linotype" w:hAnsi="Palatino Linotype"/>
          <w:sz w:val="24"/>
        </w:rPr>
        <w:t xml:space="preserve">the African continent </w:t>
      </w:r>
      <w:r w:rsidRPr="00FC34A8">
        <w:rPr>
          <w:rFonts w:ascii="Palatino Linotype" w:hAnsi="Palatino Linotype"/>
          <w:sz w:val="24"/>
        </w:rPr>
        <w:t>highly vulnerable to environmental changes, and climate change is likely to increase this vulnerability. African Regions (North Africa, West Africa, Central Africa, East Africa, Southern Africa and the Western Indian Ocean Islands) are most vulnerable to spec</w:t>
      </w:r>
      <w:r>
        <w:rPr>
          <w:rFonts w:ascii="Palatino Linotype" w:hAnsi="Palatino Linotype"/>
          <w:sz w:val="24"/>
        </w:rPr>
        <w:t xml:space="preserve">ific impacts of climate change that </w:t>
      </w:r>
      <w:r w:rsidRPr="00FC34A8">
        <w:rPr>
          <w:rFonts w:ascii="Palatino Linotype" w:hAnsi="Palatino Linotype"/>
          <w:sz w:val="24"/>
          <w:szCs w:val="24"/>
        </w:rPr>
        <w:t>include desertification, sea level rise, reduced freshwater availability, changes in the frequencies and intensities of cyclones, coastal erosion, deforestation, loss of forest quality, woodland degradation, coral bleaching, the spread of malaria and other diseases, and impacts on food security</w:t>
      </w:r>
      <w:r>
        <w:rPr>
          <w:rFonts w:ascii="Palatino Linotype" w:hAnsi="Palatino Linotype"/>
          <w:sz w:val="24"/>
          <w:szCs w:val="24"/>
        </w:rPr>
        <w:t>.</w:t>
      </w:r>
      <w:r w:rsidRPr="00FC34A8">
        <w:rPr>
          <w:rFonts w:ascii="Palatino Linotype" w:hAnsi="Palatino Linotype"/>
          <w:sz w:val="24"/>
          <w:szCs w:val="24"/>
        </w:rPr>
        <w:t xml:space="preserve"> These impacts are expected to continue even if the increase in the concentration of Greenhouse gases was to be halted today due to the long half-life of some important gases like carbon dioxide. Hence Africa needs to have strategies for adaptation and mitigation. However, the African governments have agreed to place prime importance to adaptation.</w:t>
      </w:r>
    </w:p>
    <w:p w:rsidR="00355ED0" w:rsidRPr="000C097E" w:rsidRDefault="00355ED0" w:rsidP="00355ED0">
      <w:pPr>
        <w:jc w:val="both"/>
        <w:rPr>
          <w:rFonts w:ascii="Palatino Linotype" w:hAnsi="Palatino Linotype"/>
          <w:sz w:val="24"/>
          <w:szCs w:val="24"/>
        </w:rPr>
      </w:pPr>
      <w:r w:rsidRPr="000C097E">
        <w:rPr>
          <w:rFonts w:ascii="Palatino Linotype" w:hAnsi="Palatino Linotype"/>
          <w:sz w:val="24"/>
          <w:szCs w:val="24"/>
        </w:rPr>
        <w:t>Adaptation to climate change cannot be addressed through a single economic sector as it has impacts across the board on all aspects of social and economic development. In addition, development without consideration of the risk and impact of climate change can sometimes increase the vulnerability (maladaptation). For example, even though forests in floodplains are known to be several times more valuable as flood defences than for logging, indiscriminate deforestation is still practiced in many countries as a source of short-term income (OECD 2009b).</w:t>
      </w:r>
    </w:p>
    <w:p w:rsidR="00A02AD3" w:rsidRDefault="00355ED0" w:rsidP="00355ED0">
      <w:pPr>
        <w:jc w:val="both"/>
        <w:rPr>
          <w:rFonts w:ascii="Palatino Linotype" w:hAnsi="Palatino Linotype"/>
          <w:sz w:val="24"/>
          <w:szCs w:val="24"/>
        </w:rPr>
      </w:pPr>
      <w:r w:rsidRPr="000C097E">
        <w:rPr>
          <w:rFonts w:ascii="Palatino Linotype" w:hAnsi="Palatino Linotype"/>
          <w:sz w:val="24"/>
          <w:szCs w:val="24"/>
        </w:rPr>
        <w:t xml:space="preserve">In order to understand adaptation, we need to understand the concepts of adaptive capacity and vulnerability. Most researchers and policy makers have very good understanding of these concepts. Some of them have actually devised methods to screen their projects for the risks posed by climate change. Would we say the same for those in the vulnerable communities? No, this is because the tools the researchers use are “complicated” and thus their applications within actual project settings remain limited. There is a need to devise methods or fora to explain these methods to those who are actually going to apply them (those within the vulnerable areas) but better yet, they should be involved in the projects. This further comes down to the fact there is need to make substantial and long-term investments in the provision of climate change information as well as establishing good communication mechanisms between scientific </w:t>
      </w:r>
      <w:r w:rsidRPr="00A02AD3">
        <w:rPr>
          <w:rFonts w:ascii="Palatino Linotype" w:hAnsi="Palatino Linotype"/>
          <w:sz w:val="28"/>
          <w:szCs w:val="28"/>
        </w:rPr>
        <w:t>community</w:t>
      </w:r>
      <w:r w:rsidRPr="000C097E">
        <w:rPr>
          <w:rFonts w:ascii="Palatino Linotype" w:hAnsi="Palatino Linotype"/>
          <w:sz w:val="24"/>
          <w:szCs w:val="24"/>
        </w:rPr>
        <w:t xml:space="preserve"> and practitioners. The big question lies </w:t>
      </w:r>
      <w:r w:rsidRPr="000C097E">
        <w:rPr>
          <w:rFonts w:ascii="Palatino Linotype" w:hAnsi="Palatino Linotype"/>
          <w:sz w:val="24"/>
          <w:szCs w:val="24"/>
        </w:rPr>
        <w:lastRenderedPageBreak/>
        <w:t xml:space="preserve">in whether the decision-makers can manage this information. To remedy this, Information, Communication and Technology can be used in the relevant sectors. </w:t>
      </w:r>
    </w:p>
    <w:p w:rsidR="00A02AD3" w:rsidRPr="000C097E" w:rsidRDefault="00A02AD3" w:rsidP="00A02AD3">
      <w:pPr>
        <w:jc w:val="both"/>
        <w:rPr>
          <w:rFonts w:ascii="Palatino Linotype" w:hAnsi="Palatino Linotype"/>
          <w:sz w:val="24"/>
          <w:szCs w:val="24"/>
        </w:rPr>
      </w:pPr>
      <w:r w:rsidRPr="000C097E">
        <w:rPr>
          <w:rFonts w:ascii="Palatino Linotype" w:hAnsi="Palatino Linotype"/>
          <w:sz w:val="24"/>
          <w:szCs w:val="24"/>
        </w:rPr>
        <w:t>The Institute for Climate Change and Adaptation (ICCA) at the University of Nairobi serves to offer unique transdis</w:t>
      </w:r>
      <w:r w:rsidR="00ED06C1">
        <w:rPr>
          <w:rFonts w:ascii="Palatino Linotype" w:hAnsi="Palatino Linotype"/>
          <w:sz w:val="24"/>
          <w:szCs w:val="24"/>
        </w:rPr>
        <w:t>ciplinary programmes that will:</w:t>
      </w:r>
    </w:p>
    <w:p w:rsidR="00A02AD3" w:rsidRPr="000C097E" w:rsidRDefault="00A02AD3" w:rsidP="00A02AD3">
      <w:pPr>
        <w:numPr>
          <w:ilvl w:val="0"/>
          <w:numId w:val="3"/>
        </w:numPr>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Build the human capacity needed to address climate change and adaptation that meet African societies unique needs by offering University-based curricula for conventional degrees and short training courses for a wide range of professionals from all sectors of society</w:t>
      </w:r>
    </w:p>
    <w:p w:rsidR="00A02AD3" w:rsidRPr="000C097E" w:rsidRDefault="00A02AD3" w:rsidP="00A02AD3">
      <w:pPr>
        <w:numPr>
          <w:ilvl w:val="0"/>
          <w:numId w:val="3"/>
        </w:numPr>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Encourage action-oriented research activities, including research into climate change adaptation technologies, that will help to improve the climate adaptation capacity of the African peoples</w:t>
      </w:r>
    </w:p>
    <w:p w:rsidR="00A02AD3" w:rsidRPr="000C097E" w:rsidRDefault="00A02AD3" w:rsidP="00A02AD3">
      <w:pPr>
        <w:numPr>
          <w:ilvl w:val="0"/>
          <w:numId w:val="3"/>
        </w:numPr>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 xml:space="preserve">Provide a framework for national and regional policy assessments and advice to governments and other public and private sector actors, and </w:t>
      </w:r>
    </w:p>
    <w:p w:rsidR="00ED06C1" w:rsidRDefault="00A02AD3" w:rsidP="00A02AD3">
      <w:pPr>
        <w:suppressAutoHyphens/>
        <w:spacing w:after="0" w:line="240" w:lineRule="auto"/>
        <w:jc w:val="both"/>
        <w:rPr>
          <w:rFonts w:ascii="Palatino Linotype" w:hAnsi="Palatino Linotype"/>
          <w:sz w:val="24"/>
          <w:szCs w:val="24"/>
        </w:rPr>
      </w:pPr>
      <w:r w:rsidRPr="00ED06C1">
        <w:rPr>
          <w:rFonts w:ascii="Palatino Linotype" w:hAnsi="Palatino Linotype"/>
          <w:sz w:val="24"/>
          <w:szCs w:val="24"/>
        </w:rPr>
        <w:t>Include the grassroots and various communities within the African region in its programmes execution and implementation of research findings.</w:t>
      </w:r>
    </w:p>
    <w:p w:rsidR="00ED06C1" w:rsidRDefault="00ED06C1" w:rsidP="00A02AD3">
      <w:pPr>
        <w:suppressAutoHyphens/>
        <w:spacing w:after="0" w:line="240" w:lineRule="auto"/>
        <w:jc w:val="both"/>
        <w:rPr>
          <w:rFonts w:ascii="Palatino Linotype" w:hAnsi="Palatino Linotype"/>
          <w:sz w:val="24"/>
          <w:szCs w:val="24"/>
        </w:rPr>
      </w:pPr>
    </w:p>
    <w:p w:rsidR="00355ED0" w:rsidRPr="00ED06C1" w:rsidRDefault="00355ED0" w:rsidP="00A02AD3">
      <w:pPr>
        <w:suppressAutoHyphens/>
        <w:spacing w:after="0" w:line="240" w:lineRule="auto"/>
        <w:jc w:val="both"/>
        <w:rPr>
          <w:rFonts w:ascii="Palatino Linotype" w:hAnsi="Palatino Linotype"/>
          <w:b/>
          <w:color w:val="000000"/>
          <w:sz w:val="28"/>
          <w:szCs w:val="28"/>
        </w:rPr>
      </w:pPr>
      <w:r w:rsidRPr="00ED06C1">
        <w:rPr>
          <w:rFonts w:ascii="Palatino Linotype" w:hAnsi="Palatino Linotype"/>
          <w:b/>
          <w:color w:val="000000"/>
          <w:sz w:val="28"/>
          <w:szCs w:val="28"/>
        </w:rPr>
        <w:t>Mandate</w:t>
      </w:r>
    </w:p>
    <w:p w:rsidR="00355ED0" w:rsidRDefault="00355ED0" w:rsidP="00355ED0">
      <w:pPr>
        <w:jc w:val="both"/>
        <w:rPr>
          <w:rFonts w:ascii="Palatino Linotype" w:hAnsi="Palatino Linotype"/>
          <w:sz w:val="24"/>
          <w:szCs w:val="24"/>
        </w:rPr>
      </w:pPr>
      <w:r w:rsidRPr="000C097E">
        <w:rPr>
          <w:rFonts w:ascii="Palatino Linotype" w:hAnsi="Palatino Linotype"/>
          <w:sz w:val="24"/>
          <w:szCs w:val="24"/>
        </w:rPr>
        <w:t>The Mandate of the Institute for Climate Change and Adaptation is Teaching and Learning, Research and Innovation, Consultancy and Community Service. The objectives and functions of the Institute are identical in detail to that of the University of Nairobi as given in its Charter 2013.</w:t>
      </w:r>
    </w:p>
    <w:p w:rsidR="00A02AD3" w:rsidRPr="00A02AD3" w:rsidRDefault="00A02AD3" w:rsidP="00A02AD3">
      <w:pPr>
        <w:keepNext/>
        <w:numPr>
          <w:ilvl w:val="1"/>
          <w:numId w:val="1"/>
        </w:numPr>
        <w:suppressAutoHyphens/>
        <w:spacing w:after="0" w:line="240" w:lineRule="auto"/>
        <w:jc w:val="both"/>
        <w:outlineLvl w:val="1"/>
        <w:rPr>
          <w:rFonts w:ascii="Palatino Linotype" w:eastAsia="Times New Roman" w:hAnsi="Palatino Linotype" w:cs="Times New Roman"/>
          <w:b/>
          <w:color w:val="000000"/>
          <w:sz w:val="28"/>
          <w:szCs w:val="28"/>
          <w:lang w:val="en-US" w:eastAsia="ar-SA"/>
        </w:rPr>
      </w:pPr>
      <w:r w:rsidRPr="00A02AD3">
        <w:rPr>
          <w:rFonts w:ascii="Palatino Linotype" w:eastAsia="Times New Roman" w:hAnsi="Palatino Linotype" w:cs="Times New Roman"/>
          <w:b/>
          <w:color w:val="000000"/>
          <w:sz w:val="28"/>
          <w:szCs w:val="28"/>
          <w:lang w:val="en-US" w:eastAsia="ar-SA"/>
        </w:rPr>
        <w:t>Objectives</w:t>
      </w:r>
    </w:p>
    <w:p w:rsidR="00A02AD3" w:rsidRPr="00A02AD3" w:rsidRDefault="00A02AD3" w:rsidP="00A02AD3">
      <w:pPr>
        <w:jc w:val="both"/>
        <w:rPr>
          <w:rFonts w:ascii="Palatino Linotype" w:hAnsi="Palatino Linotype"/>
          <w:sz w:val="24"/>
          <w:szCs w:val="24"/>
        </w:rPr>
      </w:pPr>
      <w:r w:rsidRPr="00A02AD3">
        <w:rPr>
          <w:rFonts w:ascii="Palatino Linotype" w:hAnsi="Palatino Linotype"/>
          <w:sz w:val="24"/>
          <w:szCs w:val="24"/>
        </w:rPr>
        <w:t>The main objectives at The Institute for Climate Change and Adaptation at the University of Nairobi are to provide and/or conduct:</w:t>
      </w:r>
    </w:p>
    <w:p w:rsidR="00A02AD3" w:rsidRPr="00A02AD3" w:rsidRDefault="00A02AD3" w:rsidP="00A02AD3">
      <w:pPr>
        <w:numPr>
          <w:ilvl w:val="0"/>
          <w:numId w:val="2"/>
        </w:numPr>
        <w:suppressAutoHyphens/>
        <w:spacing w:after="0" w:line="240" w:lineRule="auto"/>
        <w:jc w:val="both"/>
        <w:rPr>
          <w:rFonts w:ascii="Palatino Linotype" w:hAnsi="Palatino Linotype"/>
          <w:sz w:val="24"/>
          <w:szCs w:val="24"/>
        </w:rPr>
      </w:pPr>
      <w:r w:rsidRPr="00A02AD3">
        <w:rPr>
          <w:rFonts w:ascii="Palatino Linotype" w:hAnsi="Palatino Linotype"/>
          <w:sz w:val="24"/>
          <w:szCs w:val="24"/>
        </w:rPr>
        <w:t>Formal training on climate change and adaptation at postgraduate level (Masters and Doctorate) initially, and eventually at the undergraduate level.</w:t>
      </w:r>
    </w:p>
    <w:p w:rsidR="00A02AD3" w:rsidRPr="00A02AD3" w:rsidRDefault="00A02AD3" w:rsidP="00A02AD3">
      <w:pPr>
        <w:numPr>
          <w:ilvl w:val="0"/>
          <w:numId w:val="2"/>
        </w:numPr>
        <w:suppressAutoHyphens/>
        <w:spacing w:after="0" w:line="240" w:lineRule="auto"/>
        <w:jc w:val="both"/>
        <w:rPr>
          <w:rFonts w:ascii="Palatino Linotype" w:hAnsi="Palatino Linotype"/>
          <w:sz w:val="24"/>
          <w:szCs w:val="24"/>
        </w:rPr>
      </w:pPr>
      <w:r w:rsidRPr="00A02AD3">
        <w:rPr>
          <w:rFonts w:ascii="Palatino Linotype" w:hAnsi="Palatino Linotype"/>
          <w:sz w:val="24"/>
          <w:szCs w:val="24"/>
        </w:rPr>
        <w:t>Professional Short courses for various climate change and adaptation actors and stakeholders in the public and private sectors including NGOs;</w:t>
      </w:r>
    </w:p>
    <w:p w:rsidR="00A02AD3" w:rsidRPr="00A02AD3" w:rsidRDefault="00A02AD3" w:rsidP="00A02AD3">
      <w:pPr>
        <w:numPr>
          <w:ilvl w:val="0"/>
          <w:numId w:val="2"/>
        </w:numPr>
        <w:suppressAutoHyphens/>
        <w:spacing w:after="0" w:line="240" w:lineRule="auto"/>
        <w:jc w:val="both"/>
        <w:rPr>
          <w:rFonts w:ascii="Palatino Linotype" w:hAnsi="Palatino Linotype"/>
          <w:sz w:val="24"/>
          <w:szCs w:val="24"/>
        </w:rPr>
      </w:pPr>
      <w:r w:rsidRPr="00A02AD3">
        <w:rPr>
          <w:rFonts w:ascii="Palatino Linotype" w:hAnsi="Palatino Linotype"/>
          <w:sz w:val="24"/>
          <w:szCs w:val="24"/>
        </w:rPr>
        <w:t>Climate change and adaptation research and knowledge exchange;</w:t>
      </w:r>
    </w:p>
    <w:p w:rsidR="00A02AD3" w:rsidRPr="00A02AD3" w:rsidRDefault="00A02AD3" w:rsidP="00A02AD3">
      <w:pPr>
        <w:numPr>
          <w:ilvl w:val="0"/>
          <w:numId w:val="2"/>
        </w:numPr>
        <w:suppressAutoHyphens/>
        <w:spacing w:after="0" w:line="240" w:lineRule="auto"/>
        <w:jc w:val="both"/>
        <w:rPr>
          <w:rFonts w:ascii="Palatino Linotype" w:hAnsi="Palatino Linotype"/>
          <w:sz w:val="24"/>
          <w:szCs w:val="24"/>
        </w:rPr>
      </w:pPr>
      <w:r w:rsidRPr="00A02AD3">
        <w:rPr>
          <w:rFonts w:ascii="Palatino Linotype" w:hAnsi="Palatino Linotype"/>
          <w:sz w:val="24"/>
          <w:szCs w:val="24"/>
        </w:rPr>
        <w:t>Action-oriented community outreach programmes for implementation of practical climate change and adaptation options; and</w:t>
      </w:r>
    </w:p>
    <w:p w:rsidR="00A02AD3" w:rsidRDefault="00A02AD3" w:rsidP="00A02AD3">
      <w:pPr>
        <w:numPr>
          <w:ilvl w:val="0"/>
          <w:numId w:val="2"/>
        </w:numPr>
        <w:suppressAutoHyphens/>
        <w:spacing w:after="0" w:line="240" w:lineRule="auto"/>
        <w:jc w:val="both"/>
        <w:rPr>
          <w:rFonts w:ascii="Palatino Linotype" w:hAnsi="Palatino Linotype"/>
          <w:sz w:val="24"/>
          <w:szCs w:val="24"/>
        </w:rPr>
      </w:pPr>
      <w:r w:rsidRPr="00A02AD3">
        <w:rPr>
          <w:rFonts w:ascii="Palatino Linotype" w:hAnsi="Palatino Linotype"/>
          <w:sz w:val="24"/>
          <w:szCs w:val="24"/>
        </w:rPr>
        <w:t>Policy advice on climate change and adaptation.</w:t>
      </w:r>
    </w:p>
    <w:p w:rsidR="00BB092B" w:rsidRDefault="00BB092B" w:rsidP="00A02AD3">
      <w:pPr>
        <w:suppressAutoHyphens/>
        <w:spacing w:after="0" w:line="240" w:lineRule="auto"/>
        <w:jc w:val="both"/>
        <w:rPr>
          <w:rFonts w:ascii="Palatino Linotype" w:hAnsi="Palatino Linotype"/>
          <w:b/>
          <w:sz w:val="24"/>
          <w:szCs w:val="24"/>
        </w:rPr>
      </w:pPr>
    </w:p>
    <w:p w:rsidR="00A02AD3" w:rsidRPr="00ED06C1" w:rsidRDefault="00A02AD3" w:rsidP="00A02AD3">
      <w:pPr>
        <w:suppressAutoHyphens/>
        <w:spacing w:after="0" w:line="240" w:lineRule="auto"/>
        <w:jc w:val="both"/>
        <w:rPr>
          <w:rFonts w:ascii="Palatino Linotype" w:hAnsi="Palatino Linotype"/>
          <w:b/>
          <w:sz w:val="28"/>
          <w:szCs w:val="28"/>
        </w:rPr>
      </w:pPr>
      <w:r w:rsidRPr="00ED06C1">
        <w:rPr>
          <w:rFonts w:ascii="Palatino Linotype" w:hAnsi="Palatino Linotype"/>
          <w:b/>
          <w:sz w:val="28"/>
          <w:szCs w:val="28"/>
        </w:rPr>
        <w:t>Faculty</w:t>
      </w:r>
    </w:p>
    <w:p w:rsidR="00A02AD3" w:rsidRDefault="00A02AD3" w:rsidP="00A02AD3">
      <w:pPr>
        <w:suppressAutoHyphens/>
        <w:spacing w:after="0" w:line="240" w:lineRule="auto"/>
        <w:jc w:val="both"/>
        <w:rPr>
          <w:rFonts w:ascii="Palatino Linotype" w:hAnsi="Palatino Linotype"/>
          <w:sz w:val="24"/>
          <w:szCs w:val="24"/>
        </w:rPr>
      </w:pPr>
      <w:r w:rsidRPr="00A02AD3">
        <w:rPr>
          <w:rFonts w:ascii="Palatino Linotype" w:hAnsi="Palatino Linotype"/>
          <w:sz w:val="24"/>
          <w:szCs w:val="24"/>
        </w:rPr>
        <w:t>The faculty implements the Institute mandate</w:t>
      </w:r>
      <w:r>
        <w:rPr>
          <w:rFonts w:ascii="Palatino Linotype" w:hAnsi="Palatino Linotype"/>
          <w:sz w:val="24"/>
          <w:szCs w:val="24"/>
        </w:rPr>
        <w:t xml:space="preserve"> under thematic areas that the students align their studies to, these are</w:t>
      </w:r>
      <w:r w:rsidR="00BB092B">
        <w:rPr>
          <w:rFonts w:ascii="Palatino Linotype" w:hAnsi="Palatino Linotype"/>
          <w:sz w:val="24"/>
          <w:szCs w:val="24"/>
        </w:rPr>
        <w:t>:-</w:t>
      </w:r>
    </w:p>
    <w:p w:rsidR="00BB092B" w:rsidRDefault="00BB092B" w:rsidP="00A02AD3">
      <w:pPr>
        <w:suppressAutoHyphens/>
        <w:spacing w:after="0" w:line="240" w:lineRule="auto"/>
        <w:jc w:val="both"/>
        <w:rPr>
          <w:rFonts w:ascii="Palatino Linotype" w:hAnsi="Palatino Linotype"/>
          <w:sz w:val="24"/>
          <w:szCs w:val="24"/>
        </w:rPr>
      </w:pPr>
    </w:p>
    <w:p w:rsidR="00A02AD3" w:rsidRPr="00A02AD3" w:rsidRDefault="00A02AD3" w:rsidP="00A02AD3">
      <w:pPr>
        <w:suppressAutoHyphens/>
        <w:spacing w:after="0" w:line="240" w:lineRule="auto"/>
        <w:jc w:val="both"/>
        <w:rPr>
          <w:rFonts w:ascii="Palatino Linotype" w:hAnsi="Palatino Linotype"/>
          <w:sz w:val="24"/>
          <w:szCs w:val="24"/>
        </w:rPr>
      </w:pPr>
    </w:p>
    <w:tbl>
      <w:tblPr>
        <w:tblStyle w:val="TableGrid"/>
        <w:tblW w:w="9445" w:type="dxa"/>
        <w:tblLayout w:type="fixed"/>
        <w:tblLook w:val="04A0"/>
      </w:tblPr>
      <w:tblGrid>
        <w:gridCol w:w="1885"/>
        <w:gridCol w:w="7560"/>
      </w:tblGrid>
      <w:tr w:rsidR="00A02AD3" w:rsidTr="00ED06C1">
        <w:tc>
          <w:tcPr>
            <w:tcW w:w="1885" w:type="dxa"/>
            <w:shd w:val="clear" w:color="auto" w:fill="auto"/>
          </w:tcPr>
          <w:p w:rsidR="00A02AD3" w:rsidRPr="00ED06C1" w:rsidRDefault="00A02AD3" w:rsidP="00A02AD3">
            <w:pPr>
              <w:tabs>
                <w:tab w:val="left" w:pos="3232"/>
              </w:tabs>
              <w:rPr>
                <w:rFonts w:ascii="Palatino Linotype" w:hAnsi="Palatino Linotype"/>
                <w:b/>
                <w:noProof/>
                <w:sz w:val="24"/>
                <w:szCs w:val="24"/>
                <w:lang w:eastAsia="en-GB"/>
              </w:rPr>
            </w:pPr>
            <w:r w:rsidRPr="00ED06C1">
              <w:rPr>
                <w:rFonts w:ascii="Palatino Linotype" w:hAnsi="Palatino Linotype"/>
                <w:b/>
                <w:noProof/>
                <w:sz w:val="24"/>
                <w:szCs w:val="24"/>
                <w:lang w:eastAsia="en-GB"/>
              </w:rPr>
              <w:t xml:space="preserve">Faculty </w:t>
            </w:r>
            <w:r w:rsidRPr="00ED06C1">
              <w:rPr>
                <w:rFonts w:ascii="Palatino Linotype" w:hAnsi="Palatino Linotype"/>
                <w:b/>
                <w:noProof/>
                <w:sz w:val="24"/>
                <w:szCs w:val="24"/>
                <w:lang w:eastAsia="en-GB"/>
              </w:rPr>
              <w:lastRenderedPageBreak/>
              <w:t>Member</w:t>
            </w:r>
          </w:p>
        </w:tc>
        <w:tc>
          <w:tcPr>
            <w:tcW w:w="7560" w:type="dxa"/>
            <w:shd w:val="clear" w:color="auto" w:fill="auto"/>
          </w:tcPr>
          <w:p w:rsidR="00A02AD3" w:rsidRPr="00ED06C1" w:rsidRDefault="00A02AD3" w:rsidP="00A02AD3">
            <w:pPr>
              <w:ind w:firstLine="720"/>
              <w:rPr>
                <w:rFonts w:ascii="Palatino Linotype" w:hAnsi="Palatino Linotype"/>
                <w:b/>
                <w:sz w:val="24"/>
                <w:szCs w:val="24"/>
                <w:lang w:val="en-US"/>
              </w:rPr>
            </w:pPr>
            <w:r w:rsidRPr="00ED06C1">
              <w:rPr>
                <w:rFonts w:ascii="Palatino Linotype" w:hAnsi="Palatino Linotype"/>
                <w:b/>
                <w:sz w:val="24"/>
                <w:szCs w:val="24"/>
                <w:lang w:val="en-US"/>
              </w:rPr>
              <w:lastRenderedPageBreak/>
              <w:t>Designation</w:t>
            </w:r>
          </w:p>
        </w:tc>
      </w:tr>
      <w:tr w:rsidR="00A02AD3" w:rsidTr="00ED06C1">
        <w:tc>
          <w:tcPr>
            <w:tcW w:w="1885" w:type="dxa"/>
          </w:tcPr>
          <w:p w:rsidR="00A02AD3" w:rsidRDefault="00A02AD3" w:rsidP="00A02AD3">
            <w:pPr>
              <w:tabs>
                <w:tab w:val="left" w:pos="3232"/>
              </w:tabs>
              <w:rPr>
                <w:rFonts w:ascii="Garamond" w:hAnsi="Garamond"/>
                <w:noProof/>
                <w:lang w:eastAsia="en-GB"/>
              </w:rPr>
            </w:pPr>
            <w:r>
              <w:rPr>
                <w:rFonts w:ascii="Garamond" w:hAnsi="Garamond"/>
                <w:noProof/>
                <w:lang w:eastAsia="en-GB"/>
              </w:rPr>
              <w:lastRenderedPageBreak/>
              <w:tab/>
            </w:r>
          </w:p>
          <w:p w:rsidR="00A02AD3" w:rsidRDefault="00DF7C51">
            <w:pPr>
              <w:rPr>
                <w:lang w:val="en-US"/>
              </w:rPr>
            </w:pPr>
            <w:r w:rsidRPr="00DF7C51">
              <w:rPr>
                <w:rFonts w:ascii="Garamond" w:hAnsi="Garamond"/>
                <w:noProof/>
                <w:lang w:val="en-US"/>
              </w:rPr>
              <w:drawing>
                <wp:inline distT="0" distB="0" distL="0" distR="0">
                  <wp:extent cx="1047750" cy="1228725"/>
                  <wp:effectExtent l="19050" t="0" r="0" b="0"/>
                  <wp:docPr id="3" name="Picture 3" descr="C:\Users\Purity\Downloads\Olago_Photo_5May20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rity\Downloads\Olago_Photo_5May2019 0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368" cy="1240004"/>
                          </a:xfrm>
                          <a:prstGeom prst="rect">
                            <a:avLst/>
                          </a:prstGeom>
                          <a:noFill/>
                          <a:ln>
                            <a:noFill/>
                          </a:ln>
                        </pic:spPr>
                      </pic:pic>
                    </a:graphicData>
                  </a:graphic>
                </wp:inline>
              </w:drawing>
            </w:r>
          </w:p>
          <w:p w:rsidR="00A02AD3" w:rsidRDefault="00A02AD3">
            <w:pPr>
              <w:rPr>
                <w:lang w:val="en-US"/>
              </w:rPr>
            </w:pPr>
          </w:p>
        </w:tc>
        <w:tc>
          <w:tcPr>
            <w:tcW w:w="7560" w:type="dxa"/>
          </w:tcPr>
          <w:p w:rsidR="00A02AD3" w:rsidRDefault="00A02AD3">
            <w:pPr>
              <w:rPr>
                <w:lang w:val="en-US"/>
              </w:rPr>
            </w:pPr>
          </w:p>
          <w:p w:rsidR="00A02AD3" w:rsidRPr="001F6A61" w:rsidRDefault="00A02AD3" w:rsidP="001F6A61">
            <w:pPr>
              <w:pStyle w:val="Heading6"/>
              <w:jc w:val="both"/>
              <w:outlineLvl w:val="5"/>
              <w:rPr>
                <w:b w:val="0"/>
                <w:sz w:val="24"/>
                <w:szCs w:val="24"/>
              </w:rPr>
            </w:pPr>
            <w:r w:rsidRPr="001F6A61">
              <w:rPr>
                <w:b w:val="0"/>
                <w:sz w:val="24"/>
                <w:szCs w:val="24"/>
              </w:rPr>
              <w:t>Prof Daniel Olago</w:t>
            </w:r>
          </w:p>
          <w:p w:rsidR="00A02AD3" w:rsidRPr="001F6A61" w:rsidRDefault="00A02AD3" w:rsidP="001F6A61">
            <w:pPr>
              <w:pStyle w:val="Heading6"/>
              <w:jc w:val="both"/>
              <w:outlineLvl w:val="5"/>
              <w:rPr>
                <w:b w:val="0"/>
                <w:sz w:val="24"/>
                <w:szCs w:val="24"/>
              </w:rPr>
            </w:pPr>
            <w:r w:rsidRPr="001F6A61">
              <w:rPr>
                <w:b w:val="0"/>
                <w:sz w:val="24"/>
                <w:szCs w:val="24"/>
              </w:rPr>
              <w:t>Director</w:t>
            </w:r>
          </w:p>
          <w:p w:rsidR="00A02AD3" w:rsidRPr="001F6A61" w:rsidRDefault="00A02AD3" w:rsidP="001F6A61">
            <w:pPr>
              <w:pStyle w:val="Heading6"/>
              <w:jc w:val="both"/>
              <w:outlineLvl w:val="5"/>
              <w:rPr>
                <w:b w:val="0"/>
                <w:sz w:val="24"/>
                <w:szCs w:val="24"/>
              </w:rPr>
            </w:pPr>
            <w:r w:rsidRPr="001F6A61">
              <w:rPr>
                <w:b w:val="0"/>
                <w:sz w:val="24"/>
                <w:szCs w:val="24"/>
              </w:rPr>
              <w:t>Institute for Climate Change</w:t>
            </w:r>
          </w:p>
          <w:p w:rsidR="00A02AD3" w:rsidRPr="001F6A61" w:rsidRDefault="00A02AD3" w:rsidP="001F6A61">
            <w:pPr>
              <w:pStyle w:val="Heading6"/>
              <w:jc w:val="both"/>
              <w:outlineLvl w:val="5"/>
              <w:rPr>
                <w:b w:val="0"/>
                <w:sz w:val="24"/>
                <w:szCs w:val="24"/>
              </w:rPr>
            </w:pPr>
            <w:r w:rsidRPr="001F6A61">
              <w:rPr>
                <w:b w:val="0"/>
                <w:sz w:val="24"/>
                <w:szCs w:val="24"/>
              </w:rPr>
              <w:t>&amp;</w:t>
            </w:r>
          </w:p>
          <w:p w:rsidR="00A02AD3" w:rsidRPr="001F6A61" w:rsidRDefault="00A02AD3" w:rsidP="001F6A61">
            <w:pPr>
              <w:pStyle w:val="Heading6"/>
              <w:jc w:val="both"/>
              <w:outlineLvl w:val="5"/>
              <w:rPr>
                <w:b w:val="0"/>
                <w:sz w:val="24"/>
                <w:szCs w:val="24"/>
              </w:rPr>
            </w:pPr>
            <w:r w:rsidRPr="001F6A61">
              <w:rPr>
                <w:b w:val="0"/>
                <w:sz w:val="24"/>
                <w:szCs w:val="24"/>
              </w:rPr>
              <w:t xml:space="preserve">Coordinator Water </w:t>
            </w:r>
          </w:p>
          <w:p w:rsidR="00A02AD3" w:rsidRPr="001F6A61" w:rsidRDefault="00A02AD3" w:rsidP="001F6A61">
            <w:pPr>
              <w:pStyle w:val="Heading6"/>
              <w:jc w:val="both"/>
              <w:outlineLvl w:val="5"/>
              <w:rPr>
                <w:b w:val="0"/>
                <w:sz w:val="24"/>
                <w:szCs w:val="24"/>
              </w:rPr>
            </w:pPr>
            <w:r w:rsidRPr="001F6A61">
              <w:rPr>
                <w:b w:val="0"/>
                <w:sz w:val="24"/>
                <w:szCs w:val="24"/>
              </w:rPr>
              <w:t>Environment and Ecosystems</w:t>
            </w:r>
            <w:bookmarkStart w:id="0" w:name="_GoBack"/>
            <w:bookmarkEnd w:id="0"/>
          </w:p>
          <w:p w:rsidR="00A02AD3" w:rsidRPr="001F6A61" w:rsidRDefault="00A02AD3" w:rsidP="001F6A61">
            <w:pPr>
              <w:pStyle w:val="Heading6"/>
              <w:jc w:val="both"/>
              <w:outlineLvl w:val="5"/>
              <w:rPr>
                <w:b w:val="0"/>
                <w:sz w:val="24"/>
                <w:szCs w:val="24"/>
              </w:rPr>
            </w:pPr>
            <w:r w:rsidRPr="001F6A61">
              <w:rPr>
                <w:b w:val="0"/>
                <w:sz w:val="24"/>
                <w:szCs w:val="24"/>
              </w:rPr>
              <w:t>Institute for Climate Change</w:t>
            </w:r>
          </w:p>
          <w:p w:rsidR="00A02AD3" w:rsidRPr="001F6A61" w:rsidRDefault="00A02AD3" w:rsidP="001F6A61">
            <w:pPr>
              <w:pStyle w:val="Heading6"/>
              <w:jc w:val="both"/>
              <w:outlineLvl w:val="5"/>
              <w:rPr>
                <w:b w:val="0"/>
                <w:sz w:val="24"/>
                <w:szCs w:val="24"/>
              </w:rPr>
            </w:pPr>
            <w:r w:rsidRPr="001F6A61">
              <w:rPr>
                <w:b w:val="0"/>
                <w:sz w:val="24"/>
                <w:szCs w:val="24"/>
              </w:rPr>
              <w:t>And Adaptation</w:t>
            </w:r>
          </w:p>
          <w:p w:rsidR="00A02AD3" w:rsidRDefault="00A02AD3">
            <w:pPr>
              <w:rPr>
                <w:lang w:val="en-US"/>
              </w:rPr>
            </w:pPr>
          </w:p>
        </w:tc>
      </w:tr>
      <w:tr w:rsidR="00A02AD3" w:rsidTr="00ED06C1">
        <w:tc>
          <w:tcPr>
            <w:tcW w:w="1885" w:type="dxa"/>
          </w:tcPr>
          <w:p w:rsidR="00A02AD3" w:rsidRDefault="00A02AD3" w:rsidP="001F6A61">
            <w:pPr>
              <w:jc w:val="center"/>
              <w:rPr>
                <w:lang w:val="en-US"/>
              </w:rPr>
            </w:pPr>
          </w:p>
          <w:p w:rsidR="001F6A61" w:rsidRDefault="001F6A61" w:rsidP="001F6A61">
            <w:pPr>
              <w:jc w:val="both"/>
              <w:rPr>
                <w:lang w:val="en-US"/>
              </w:rPr>
            </w:pPr>
            <w:r w:rsidRPr="008E2FB9">
              <w:rPr>
                <w:rFonts w:ascii="Garamond" w:hAnsi="Garamond"/>
                <w:noProof/>
                <w:lang w:val="en-US"/>
              </w:rPr>
              <w:drawing>
                <wp:inline distT="0" distB="0" distL="0" distR="0">
                  <wp:extent cx="946556" cy="1099226"/>
                  <wp:effectExtent l="19050" t="19050" r="25400" b="24765"/>
                  <wp:docPr id="4" name="Picture 4" descr="Dr. D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Dul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151"/>
                          <a:stretch>
                            <a:fillRect/>
                          </a:stretch>
                        </pic:blipFill>
                        <pic:spPr bwMode="auto">
                          <a:xfrm>
                            <a:off x="0" y="0"/>
                            <a:ext cx="952400" cy="1106012"/>
                          </a:xfrm>
                          <a:prstGeom prst="rect">
                            <a:avLst/>
                          </a:prstGeom>
                          <a:noFill/>
                          <a:ln w="9525" cmpd="sng">
                            <a:solidFill>
                              <a:srgbClr val="000000"/>
                            </a:solidFill>
                            <a:miter lim="800000"/>
                            <a:headEnd/>
                            <a:tailEnd/>
                          </a:ln>
                          <a:effectLst/>
                        </pic:spPr>
                      </pic:pic>
                    </a:graphicData>
                  </a:graphic>
                </wp:inline>
              </w:drawing>
            </w:r>
          </w:p>
          <w:p w:rsidR="001F6A61" w:rsidRDefault="001F6A61" w:rsidP="001F6A61">
            <w:pPr>
              <w:jc w:val="both"/>
              <w:rPr>
                <w:lang w:val="en-US"/>
              </w:rPr>
            </w:pPr>
          </w:p>
        </w:tc>
        <w:tc>
          <w:tcPr>
            <w:tcW w:w="7560" w:type="dxa"/>
          </w:tcPr>
          <w:p w:rsidR="00A02AD3" w:rsidRDefault="00A02AD3">
            <w:pPr>
              <w:rPr>
                <w:lang w:val="en-US"/>
              </w:rPr>
            </w:pPr>
          </w:p>
          <w:p w:rsidR="001F6A61" w:rsidRPr="002D6152" w:rsidRDefault="001F6A61" w:rsidP="001F6A61">
            <w:pPr>
              <w:pStyle w:val="NoSpacing"/>
              <w:rPr>
                <w:rFonts w:ascii="Palatino Linotype" w:hAnsi="Palatino Linotype"/>
                <w:noProof/>
                <w:lang w:eastAsia="en-GB"/>
              </w:rPr>
            </w:pPr>
            <w:r w:rsidRPr="002D6152">
              <w:rPr>
                <w:rFonts w:ascii="Palatino Linotype" w:hAnsi="Palatino Linotype"/>
                <w:noProof/>
                <w:lang w:eastAsia="en-GB"/>
              </w:rPr>
              <w:t>Dr. (Eng)Simeon Dulo</w:t>
            </w:r>
          </w:p>
          <w:p w:rsidR="001F6A61" w:rsidRPr="002D6152" w:rsidRDefault="001F6A61" w:rsidP="001F6A61">
            <w:pPr>
              <w:pStyle w:val="NoSpacing"/>
              <w:rPr>
                <w:rFonts w:ascii="Palatino Linotype" w:hAnsi="Palatino Linotype"/>
                <w:noProof/>
                <w:lang w:eastAsia="en-GB"/>
              </w:rPr>
            </w:pPr>
            <w:r w:rsidRPr="002D6152">
              <w:rPr>
                <w:rFonts w:ascii="Palatino Linotype" w:hAnsi="Palatino Linotype"/>
                <w:noProof/>
                <w:lang w:eastAsia="en-GB"/>
              </w:rPr>
              <w:t>Coordinator</w:t>
            </w:r>
          </w:p>
          <w:p w:rsidR="001F6A61" w:rsidRDefault="001F6A61" w:rsidP="001F6A61">
            <w:pPr>
              <w:rPr>
                <w:lang w:val="en-US"/>
              </w:rPr>
            </w:pPr>
            <w:r w:rsidRPr="002D6152">
              <w:rPr>
                <w:rFonts w:ascii="Palatino Linotype" w:hAnsi="Palatino Linotype"/>
                <w:noProof/>
                <w:lang w:eastAsia="en-GB"/>
              </w:rPr>
              <w:t>Sustainable Technologies</w:t>
            </w:r>
          </w:p>
        </w:tc>
      </w:tr>
      <w:tr w:rsidR="00A02AD3" w:rsidTr="00ED06C1">
        <w:tc>
          <w:tcPr>
            <w:tcW w:w="1885" w:type="dxa"/>
          </w:tcPr>
          <w:p w:rsidR="00A02AD3" w:rsidRDefault="00A02AD3">
            <w:pPr>
              <w:rPr>
                <w:lang w:val="en-US"/>
              </w:rPr>
            </w:pPr>
          </w:p>
          <w:p w:rsidR="001F6A61" w:rsidRDefault="001F6A61">
            <w:pPr>
              <w:rPr>
                <w:lang w:val="en-US"/>
              </w:rPr>
            </w:pPr>
            <w:r w:rsidRPr="00C077D3">
              <w:rPr>
                <w:noProof/>
                <w:lang w:val="en-US"/>
              </w:rPr>
              <w:drawing>
                <wp:inline distT="0" distB="0" distL="0" distR="0">
                  <wp:extent cx="979438" cy="1274323"/>
                  <wp:effectExtent l="19050" t="19050" r="11430" b="2159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41" t="6197" r="30717" b="17462"/>
                          <a:stretch/>
                        </pic:blipFill>
                        <pic:spPr bwMode="auto">
                          <a:xfrm>
                            <a:off x="0" y="0"/>
                            <a:ext cx="987415" cy="128470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6A61" w:rsidRDefault="001F6A61">
            <w:pPr>
              <w:rPr>
                <w:lang w:val="en-US"/>
              </w:rPr>
            </w:pPr>
          </w:p>
        </w:tc>
        <w:tc>
          <w:tcPr>
            <w:tcW w:w="7560" w:type="dxa"/>
          </w:tcPr>
          <w:p w:rsidR="00A02AD3" w:rsidRDefault="00A02AD3">
            <w:pPr>
              <w:rPr>
                <w:lang w:val="en-US"/>
              </w:rPr>
            </w:pPr>
          </w:p>
          <w:p w:rsidR="00ED06C1" w:rsidRPr="002D6152" w:rsidRDefault="00ED06C1" w:rsidP="00ED06C1">
            <w:pPr>
              <w:spacing w:line="259" w:lineRule="auto"/>
              <w:rPr>
                <w:rFonts w:ascii="Palatino Linotype" w:hAnsi="Palatino Linotype"/>
              </w:rPr>
            </w:pPr>
            <w:r w:rsidRPr="002D6152">
              <w:rPr>
                <w:rFonts w:ascii="Palatino Linotype" w:hAnsi="Palatino Linotype"/>
              </w:rPr>
              <w:t>Dr George Outa</w:t>
            </w:r>
          </w:p>
          <w:p w:rsidR="00ED06C1" w:rsidRPr="002D6152" w:rsidRDefault="00ED06C1" w:rsidP="00ED06C1">
            <w:pPr>
              <w:rPr>
                <w:rFonts w:ascii="Palatino Linotype" w:hAnsi="Palatino Linotype"/>
              </w:rPr>
            </w:pPr>
            <w:r w:rsidRPr="002D6152">
              <w:rPr>
                <w:rFonts w:ascii="Palatino Linotype" w:hAnsi="Palatino Linotype"/>
              </w:rPr>
              <w:t xml:space="preserve">Coordinator Policy and </w:t>
            </w:r>
          </w:p>
          <w:p w:rsidR="00ED06C1" w:rsidRDefault="00ED06C1" w:rsidP="00ED06C1">
            <w:pPr>
              <w:rPr>
                <w:lang w:val="en-US"/>
              </w:rPr>
            </w:pPr>
            <w:r w:rsidRPr="002D6152">
              <w:rPr>
                <w:rFonts w:ascii="Palatino Linotype" w:hAnsi="Palatino Linotype"/>
              </w:rPr>
              <w:t>Communication</w:t>
            </w:r>
          </w:p>
        </w:tc>
      </w:tr>
      <w:tr w:rsidR="00A02AD3" w:rsidTr="00ED06C1">
        <w:tc>
          <w:tcPr>
            <w:tcW w:w="1885" w:type="dxa"/>
          </w:tcPr>
          <w:p w:rsidR="00A02AD3" w:rsidRDefault="001F6A61" w:rsidP="001F6A61">
            <w:pPr>
              <w:tabs>
                <w:tab w:val="left" w:pos="1195"/>
              </w:tabs>
              <w:rPr>
                <w:lang w:val="en-US"/>
              </w:rPr>
            </w:pPr>
            <w:r>
              <w:rPr>
                <w:lang w:val="en-US"/>
              </w:rPr>
              <w:tab/>
            </w:r>
          </w:p>
          <w:p w:rsidR="001F6A61" w:rsidRPr="00ED06C1" w:rsidRDefault="001F6A61" w:rsidP="00ED06C1">
            <w:pPr>
              <w:tabs>
                <w:tab w:val="left" w:pos="1195"/>
                <w:tab w:val="left" w:pos="2574"/>
              </w:tabs>
              <w:rPr>
                <w:lang w:val="en-US"/>
              </w:rPr>
            </w:pPr>
            <w:r w:rsidRPr="00EB5FF4">
              <w:rPr>
                <w:rFonts w:ascii="Garamond" w:hAnsi="Garamond"/>
                <w:noProof/>
                <w:lang w:val="en-US"/>
              </w:rPr>
              <w:drawing>
                <wp:inline distT="0" distB="0" distL="0" distR="0">
                  <wp:extent cx="949641" cy="1157592"/>
                  <wp:effectExtent l="19050" t="19050" r="22225" b="24130"/>
                  <wp:docPr id="2" name="Picture 2" descr="Dr. O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Oum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647" t="17706" b="39900"/>
                          <a:stretch>
                            <a:fillRect/>
                          </a:stretch>
                        </pic:blipFill>
                        <pic:spPr bwMode="auto">
                          <a:xfrm>
                            <a:off x="0" y="0"/>
                            <a:ext cx="953017" cy="1161707"/>
                          </a:xfrm>
                          <a:prstGeom prst="rect">
                            <a:avLst/>
                          </a:prstGeom>
                          <a:noFill/>
                          <a:ln w="3175" cmpd="sng">
                            <a:solidFill>
                              <a:srgbClr val="000000"/>
                            </a:solidFill>
                            <a:miter lim="800000"/>
                            <a:headEnd/>
                            <a:tailEnd/>
                          </a:ln>
                          <a:effectLst/>
                        </pic:spPr>
                      </pic:pic>
                    </a:graphicData>
                  </a:graphic>
                </wp:inline>
              </w:drawing>
            </w:r>
          </w:p>
        </w:tc>
        <w:tc>
          <w:tcPr>
            <w:tcW w:w="7560" w:type="dxa"/>
          </w:tcPr>
          <w:p w:rsidR="001F6A61" w:rsidRDefault="001F6A61">
            <w:pPr>
              <w:rPr>
                <w:lang w:val="en-US"/>
              </w:rPr>
            </w:pPr>
          </w:p>
          <w:p w:rsidR="00ED06C1" w:rsidRPr="00ED06C1" w:rsidRDefault="00ED06C1" w:rsidP="00ED06C1">
            <w:pPr>
              <w:tabs>
                <w:tab w:val="center" w:pos="4513"/>
              </w:tabs>
              <w:rPr>
                <w:rFonts w:ascii="Palatino Linotype" w:hAnsi="Palatino Linotype"/>
                <w:sz w:val="24"/>
                <w:szCs w:val="24"/>
              </w:rPr>
            </w:pPr>
            <w:r w:rsidRPr="00ED06C1">
              <w:rPr>
                <w:rFonts w:ascii="Palatino Linotype" w:hAnsi="Palatino Linotype"/>
                <w:sz w:val="24"/>
                <w:szCs w:val="24"/>
              </w:rPr>
              <w:t>DrGilbert Ouma</w:t>
            </w:r>
            <w:r w:rsidRPr="00ED06C1">
              <w:rPr>
                <w:rFonts w:ascii="Palatino Linotype" w:hAnsi="Palatino Linotype"/>
                <w:sz w:val="24"/>
                <w:szCs w:val="24"/>
              </w:rPr>
              <w:tab/>
            </w:r>
          </w:p>
          <w:p w:rsidR="00ED06C1" w:rsidRPr="00ED06C1" w:rsidRDefault="00ED06C1" w:rsidP="00ED06C1">
            <w:pPr>
              <w:rPr>
                <w:rFonts w:ascii="Palatino Linotype" w:hAnsi="Palatino Linotype"/>
                <w:sz w:val="24"/>
                <w:szCs w:val="24"/>
              </w:rPr>
            </w:pPr>
            <w:r w:rsidRPr="00ED06C1">
              <w:rPr>
                <w:rFonts w:ascii="Palatino Linotype" w:hAnsi="Palatino Linotype"/>
                <w:sz w:val="24"/>
                <w:szCs w:val="24"/>
              </w:rPr>
              <w:t>Coordinator</w:t>
            </w:r>
          </w:p>
          <w:p w:rsidR="00ED06C1" w:rsidRPr="00ED06C1" w:rsidRDefault="00ED06C1" w:rsidP="00ED06C1">
            <w:pPr>
              <w:rPr>
                <w:rFonts w:ascii="Palatino Linotype" w:hAnsi="Palatino Linotype"/>
                <w:sz w:val="24"/>
                <w:szCs w:val="24"/>
              </w:rPr>
            </w:pPr>
            <w:r w:rsidRPr="00ED06C1">
              <w:rPr>
                <w:rFonts w:ascii="Palatino Linotype" w:hAnsi="Palatino Linotype"/>
                <w:sz w:val="24"/>
                <w:szCs w:val="24"/>
              </w:rPr>
              <w:t xml:space="preserve">Climate Risk Management </w:t>
            </w:r>
          </w:p>
          <w:p w:rsidR="001F6A61" w:rsidRPr="00ED06C1" w:rsidRDefault="00ED06C1" w:rsidP="00ED06C1">
            <w:pPr>
              <w:rPr>
                <w:rFonts w:ascii="Palatino Linotype" w:hAnsi="Palatino Linotype"/>
                <w:sz w:val="24"/>
                <w:szCs w:val="24"/>
                <w:lang w:val="en-US"/>
              </w:rPr>
            </w:pPr>
            <w:r w:rsidRPr="00ED06C1">
              <w:rPr>
                <w:rFonts w:ascii="Palatino Linotype" w:hAnsi="Palatino Linotype"/>
                <w:sz w:val="24"/>
                <w:szCs w:val="24"/>
              </w:rPr>
              <w:t>and Food Security</w:t>
            </w:r>
          </w:p>
          <w:p w:rsidR="001F6A61" w:rsidRPr="001F6A61" w:rsidRDefault="001F6A61" w:rsidP="001F6A61">
            <w:pPr>
              <w:rPr>
                <w:lang w:val="en-US"/>
              </w:rPr>
            </w:pPr>
          </w:p>
          <w:p w:rsidR="001F6A61" w:rsidRDefault="001F6A61" w:rsidP="00ED06C1">
            <w:pPr>
              <w:rPr>
                <w:lang w:val="en-US"/>
              </w:rPr>
            </w:pPr>
          </w:p>
          <w:p w:rsidR="00A02AD3" w:rsidRPr="001F6A61" w:rsidRDefault="00A02AD3" w:rsidP="001F6A61">
            <w:pPr>
              <w:rPr>
                <w:lang w:val="en-US"/>
              </w:rPr>
            </w:pPr>
          </w:p>
        </w:tc>
      </w:tr>
      <w:tr w:rsidR="001F6A61" w:rsidTr="00ED06C1">
        <w:tc>
          <w:tcPr>
            <w:tcW w:w="1885" w:type="dxa"/>
          </w:tcPr>
          <w:p w:rsidR="001F6A61" w:rsidRDefault="001F6A61" w:rsidP="001F6A61">
            <w:pPr>
              <w:tabs>
                <w:tab w:val="left" w:pos="1195"/>
              </w:tabs>
              <w:rPr>
                <w:lang w:val="en-US"/>
              </w:rPr>
            </w:pPr>
          </w:p>
          <w:p w:rsidR="001F6A61" w:rsidRDefault="001F6A61" w:rsidP="001F6A61">
            <w:pPr>
              <w:tabs>
                <w:tab w:val="left" w:pos="1195"/>
              </w:tabs>
              <w:rPr>
                <w:lang w:val="en-US"/>
              </w:rPr>
            </w:pPr>
            <w:r w:rsidRPr="00EB5FF4">
              <w:rPr>
                <w:rFonts w:ascii="Garamond" w:hAnsi="Garamond"/>
                <w:noProof/>
                <w:lang w:val="en-US"/>
              </w:rPr>
              <w:drawing>
                <wp:inline distT="0" distB="0" distL="0" distR="0">
                  <wp:extent cx="958460" cy="121595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507" cy="1227434"/>
                          </a:xfrm>
                          <a:prstGeom prst="rect">
                            <a:avLst/>
                          </a:prstGeom>
                          <a:noFill/>
                          <a:ln>
                            <a:noFill/>
                          </a:ln>
                        </pic:spPr>
                      </pic:pic>
                    </a:graphicData>
                  </a:graphic>
                </wp:inline>
              </w:drawing>
            </w:r>
          </w:p>
          <w:p w:rsidR="001F6A61" w:rsidRDefault="001F6A61" w:rsidP="001F6A61">
            <w:pPr>
              <w:tabs>
                <w:tab w:val="left" w:pos="1195"/>
              </w:tabs>
              <w:rPr>
                <w:lang w:val="en-US"/>
              </w:rPr>
            </w:pPr>
          </w:p>
        </w:tc>
        <w:tc>
          <w:tcPr>
            <w:tcW w:w="7560" w:type="dxa"/>
          </w:tcPr>
          <w:p w:rsidR="001F6A61" w:rsidRDefault="001F6A61">
            <w:pPr>
              <w:rPr>
                <w:lang w:val="en-US"/>
              </w:rPr>
            </w:pPr>
          </w:p>
          <w:p w:rsidR="00ED06C1" w:rsidRPr="00ED06C1" w:rsidRDefault="00ED06C1" w:rsidP="00ED06C1">
            <w:pPr>
              <w:rPr>
                <w:rFonts w:ascii="Palatino Linotype" w:hAnsi="Palatino Linotype"/>
                <w:sz w:val="24"/>
                <w:szCs w:val="24"/>
              </w:rPr>
            </w:pPr>
            <w:r w:rsidRPr="00ED06C1">
              <w:rPr>
                <w:rFonts w:ascii="Palatino Linotype" w:hAnsi="Palatino Linotype"/>
                <w:sz w:val="24"/>
                <w:szCs w:val="24"/>
              </w:rPr>
              <w:t>Dr. Maggie Opondo</w:t>
            </w:r>
          </w:p>
          <w:p w:rsidR="00ED06C1" w:rsidRPr="00ED06C1" w:rsidRDefault="00ED06C1" w:rsidP="00ED06C1">
            <w:pPr>
              <w:rPr>
                <w:rFonts w:ascii="Palatino Linotype" w:hAnsi="Palatino Linotype"/>
                <w:sz w:val="24"/>
                <w:szCs w:val="24"/>
              </w:rPr>
            </w:pPr>
            <w:r w:rsidRPr="00ED06C1">
              <w:rPr>
                <w:rFonts w:ascii="Palatino Linotype" w:hAnsi="Palatino Linotype"/>
                <w:sz w:val="24"/>
                <w:szCs w:val="24"/>
              </w:rPr>
              <w:t>Coordinator</w:t>
            </w:r>
          </w:p>
          <w:p w:rsidR="00ED06C1" w:rsidRDefault="00ED06C1" w:rsidP="00ED06C1">
            <w:pPr>
              <w:rPr>
                <w:lang w:val="en-US"/>
              </w:rPr>
            </w:pPr>
            <w:r w:rsidRPr="00ED06C1">
              <w:rPr>
                <w:rFonts w:ascii="Palatino Linotype" w:hAnsi="Palatino Linotype"/>
                <w:sz w:val="24"/>
                <w:szCs w:val="24"/>
              </w:rPr>
              <w:t>Human Dimensions and Health</w:t>
            </w:r>
          </w:p>
        </w:tc>
      </w:tr>
    </w:tbl>
    <w:p w:rsidR="00ED06C1" w:rsidRPr="000C097E" w:rsidRDefault="00ED06C1" w:rsidP="00ED06C1">
      <w:pPr>
        <w:pStyle w:val="Heading2"/>
        <w:numPr>
          <w:ilvl w:val="0"/>
          <w:numId w:val="0"/>
        </w:numPr>
        <w:jc w:val="both"/>
        <w:rPr>
          <w:rFonts w:ascii="Palatino Linotype" w:hAnsi="Palatino Linotype"/>
          <w:color w:val="000000"/>
          <w:sz w:val="24"/>
          <w:szCs w:val="24"/>
        </w:rPr>
      </w:pPr>
      <w:r w:rsidRPr="000C097E">
        <w:rPr>
          <w:rFonts w:ascii="Palatino Linotype" w:hAnsi="Palatino Linotype"/>
          <w:color w:val="000000"/>
          <w:sz w:val="24"/>
          <w:szCs w:val="24"/>
        </w:rPr>
        <w:t>Vision</w:t>
      </w:r>
    </w:p>
    <w:p w:rsidR="00ED06C1" w:rsidRPr="000C097E" w:rsidRDefault="00ED06C1" w:rsidP="00ED06C1">
      <w:pPr>
        <w:jc w:val="both"/>
        <w:rPr>
          <w:rFonts w:ascii="Palatino Linotype" w:hAnsi="Palatino Linotype"/>
          <w:color w:val="000000"/>
          <w:sz w:val="24"/>
          <w:szCs w:val="24"/>
        </w:rPr>
      </w:pPr>
      <w:r w:rsidRPr="000C097E">
        <w:rPr>
          <w:rFonts w:ascii="Palatino Linotype" w:hAnsi="Palatino Linotype"/>
          <w:color w:val="000000"/>
          <w:sz w:val="24"/>
          <w:szCs w:val="24"/>
        </w:rPr>
        <w:t>To be the institution of choice for innovative climate change and adaptation research and training</w:t>
      </w:r>
    </w:p>
    <w:p w:rsidR="00ED06C1" w:rsidRPr="000C097E" w:rsidRDefault="00ED06C1" w:rsidP="00ED06C1">
      <w:pPr>
        <w:pStyle w:val="Heading2"/>
        <w:numPr>
          <w:ilvl w:val="0"/>
          <w:numId w:val="0"/>
        </w:numPr>
        <w:jc w:val="both"/>
        <w:rPr>
          <w:rFonts w:ascii="Palatino Linotype" w:hAnsi="Palatino Linotype"/>
          <w:color w:val="000000"/>
          <w:sz w:val="24"/>
          <w:szCs w:val="24"/>
        </w:rPr>
      </w:pPr>
      <w:r w:rsidRPr="000C097E">
        <w:rPr>
          <w:rFonts w:ascii="Palatino Linotype" w:hAnsi="Palatino Linotype"/>
          <w:color w:val="000000"/>
          <w:sz w:val="24"/>
          <w:szCs w:val="24"/>
        </w:rPr>
        <w:lastRenderedPageBreak/>
        <w:t xml:space="preserve"> Mission</w:t>
      </w:r>
    </w:p>
    <w:p w:rsidR="00ED06C1" w:rsidRPr="000C097E" w:rsidRDefault="00ED06C1" w:rsidP="00ED06C1">
      <w:pPr>
        <w:pStyle w:val="HTMLPreformatted"/>
        <w:jc w:val="both"/>
        <w:rPr>
          <w:rFonts w:ascii="Palatino Linotype" w:hAnsi="Palatino Linotype"/>
          <w:sz w:val="24"/>
          <w:szCs w:val="24"/>
        </w:rPr>
      </w:pPr>
      <w:bookmarkStart w:id="1" w:name="OLE_LINK1"/>
      <w:bookmarkStart w:id="2" w:name="OLE_LINK2"/>
      <w:r w:rsidRPr="000C097E">
        <w:rPr>
          <w:rFonts w:ascii="Palatino Linotype" w:hAnsi="Palatino Linotype"/>
          <w:sz w:val="24"/>
          <w:szCs w:val="24"/>
        </w:rPr>
        <w:t>Build human capacity necessary to address the unique climate change and adaptation needs of vulnerable communities through teaching, action-oriented research, development of innovative technologies and community participation. Provide expert advice for national and regional policy formulation and implementation.</w:t>
      </w:r>
    </w:p>
    <w:bookmarkEnd w:id="1"/>
    <w:bookmarkEnd w:id="2"/>
    <w:p w:rsidR="00ED06C1" w:rsidRDefault="00ED06C1" w:rsidP="00ED06C1">
      <w:pPr>
        <w:pStyle w:val="Heading2"/>
        <w:numPr>
          <w:ilvl w:val="0"/>
          <w:numId w:val="0"/>
        </w:numPr>
        <w:jc w:val="both"/>
        <w:rPr>
          <w:rFonts w:ascii="Palatino Linotype" w:eastAsiaTheme="minorHAnsi" w:hAnsi="Palatino Linotype" w:cstheme="minorBidi"/>
          <w:b w:val="0"/>
          <w:color w:val="auto"/>
          <w:sz w:val="24"/>
          <w:szCs w:val="24"/>
          <w:lang w:val="en-GB" w:eastAsia="en-US"/>
        </w:rPr>
      </w:pPr>
    </w:p>
    <w:p w:rsidR="00ED06C1" w:rsidRPr="000C097E" w:rsidRDefault="00ED06C1" w:rsidP="00ED06C1">
      <w:pPr>
        <w:pStyle w:val="Heading2"/>
        <w:numPr>
          <w:ilvl w:val="0"/>
          <w:numId w:val="0"/>
        </w:numPr>
        <w:jc w:val="both"/>
        <w:rPr>
          <w:rFonts w:ascii="Palatino Linotype" w:hAnsi="Palatino Linotype"/>
          <w:color w:val="000000"/>
          <w:sz w:val="24"/>
          <w:szCs w:val="24"/>
        </w:rPr>
      </w:pPr>
      <w:r w:rsidRPr="000C097E">
        <w:rPr>
          <w:rFonts w:ascii="Palatino Linotype" w:hAnsi="Palatino Linotype"/>
          <w:color w:val="000000"/>
          <w:sz w:val="24"/>
          <w:szCs w:val="24"/>
        </w:rPr>
        <w:t>Core Values</w:t>
      </w:r>
    </w:p>
    <w:p w:rsidR="00ED06C1" w:rsidRPr="000C097E" w:rsidRDefault="00ED06C1" w:rsidP="00ED06C1">
      <w:pPr>
        <w:shd w:val="clear" w:color="auto" w:fill="FFFFFF"/>
        <w:jc w:val="both"/>
        <w:rPr>
          <w:rFonts w:ascii="Palatino Linotype" w:hAnsi="Palatino Linotype"/>
          <w:sz w:val="24"/>
          <w:szCs w:val="24"/>
        </w:rPr>
      </w:pPr>
      <w:r w:rsidRPr="000C097E">
        <w:rPr>
          <w:rFonts w:ascii="Palatino Linotype" w:hAnsi="Palatino Linotype"/>
          <w:sz w:val="24"/>
          <w:szCs w:val="24"/>
        </w:rPr>
        <w:t>ICCA shall be guide</w:t>
      </w:r>
      <w:r>
        <w:rPr>
          <w:rFonts w:ascii="Palatino Linotype" w:hAnsi="Palatino Linotype"/>
          <w:sz w:val="24"/>
          <w:szCs w:val="24"/>
        </w:rPr>
        <w:t>d by the following core values:</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 xml:space="preserve">Safeguarding the environment for posterity. </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Freedom of thought and expression in academic inquiry and other activities.</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 xml:space="preserve">Visionary, Innovative and creative work and leadership. </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 xml:space="preserve">Good corporate governance exemplified by efficiency, effectiveness, inclusiveness, transparency and accountability. </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Effective teamwork, mentorship and collaboration</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 xml:space="preserve">Upholding professionalism, ethical standards and meritocracy. </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 xml:space="preserve">Providing unique and quality customer service. </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 xml:space="preserve">Nurturing responsible corporate citizenship, strong social and environmental responsibility. </w:t>
      </w:r>
    </w:p>
    <w:p w:rsidR="00ED06C1" w:rsidRPr="000C097E" w:rsidRDefault="00ED06C1" w:rsidP="00ED06C1">
      <w:pPr>
        <w:numPr>
          <w:ilvl w:val="0"/>
          <w:numId w:val="4"/>
        </w:numPr>
        <w:shd w:val="clear" w:color="auto" w:fill="FFFFFF"/>
        <w:suppressAutoHyphens/>
        <w:spacing w:after="0" w:line="240" w:lineRule="auto"/>
        <w:jc w:val="both"/>
        <w:rPr>
          <w:rFonts w:ascii="Palatino Linotype" w:hAnsi="Palatino Linotype"/>
          <w:sz w:val="24"/>
          <w:szCs w:val="24"/>
        </w:rPr>
      </w:pPr>
      <w:r w:rsidRPr="000C097E">
        <w:rPr>
          <w:rFonts w:ascii="Palatino Linotype" w:hAnsi="Palatino Linotype"/>
          <w:sz w:val="24"/>
          <w:szCs w:val="24"/>
        </w:rPr>
        <w:t>Embracing Information and Communication Technology in all our activities</w:t>
      </w:r>
    </w:p>
    <w:p w:rsidR="00ED06C1" w:rsidRPr="000C097E" w:rsidRDefault="00ED06C1" w:rsidP="00ED06C1">
      <w:pPr>
        <w:suppressAutoHyphens/>
        <w:spacing w:after="0" w:line="240" w:lineRule="auto"/>
        <w:jc w:val="both"/>
        <w:rPr>
          <w:rFonts w:ascii="Palatino Linotype" w:hAnsi="Palatino Linotype"/>
          <w:sz w:val="24"/>
          <w:szCs w:val="24"/>
        </w:rPr>
      </w:pPr>
    </w:p>
    <w:p w:rsidR="00355ED0" w:rsidRDefault="00355ED0">
      <w:pPr>
        <w:rPr>
          <w:lang w:val="en-US"/>
        </w:rPr>
      </w:pPr>
    </w:p>
    <w:p w:rsidR="00355ED0" w:rsidRDefault="00355ED0">
      <w:pPr>
        <w:rPr>
          <w:lang w:val="en-US"/>
        </w:rPr>
      </w:pPr>
    </w:p>
    <w:p w:rsidR="00355ED0" w:rsidRPr="00355ED0" w:rsidRDefault="00355ED0">
      <w:pPr>
        <w:rPr>
          <w:lang w:val="en-US"/>
        </w:rPr>
      </w:pPr>
    </w:p>
    <w:sectPr w:rsidR="00355ED0" w:rsidRPr="00355ED0" w:rsidSect="0057699F">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061" w:rsidRDefault="00D06061" w:rsidP="00355ED0">
      <w:pPr>
        <w:spacing w:after="0" w:line="240" w:lineRule="auto"/>
      </w:pPr>
      <w:r>
        <w:separator/>
      </w:r>
    </w:p>
  </w:endnote>
  <w:endnote w:type="continuationSeparator" w:id="1">
    <w:p w:rsidR="00D06061" w:rsidRDefault="00D06061" w:rsidP="00355E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D Garmonde">
    <w:altName w:val="MS Gothic"/>
    <w:charset w:val="8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061" w:rsidRDefault="00D06061" w:rsidP="00355ED0">
      <w:pPr>
        <w:spacing w:after="0" w:line="240" w:lineRule="auto"/>
      </w:pPr>
      <w:r>
        <w:separator/>
      </w:r>
    </w:p>
  </w:footnote>
  <w:footnote w:type="continuationSeparator" w:id="1">
    <w:p w:rsidR="00D06061" w:rsidRDefault="00D06061" w:rsidP="00355E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5"/>
    <w:multiLevelType w:val="multilevel"/>
    <w:tmpl w:val="7AC09E32"/>
    <w:name w:val="WW8Num5"/>
    <w:lvl w:ilvl="0">
      <w:start w:val="1"/>
      <w:numFmt w:val="decimal"/>
      <w:lvlText w:val="%1."/>
      <w:lvlJc w:val="left"/>
      <w:pPr>
        <w:tabs>
          <w:tab w:val="num" w:pos="720"/>
        </w:tabs>
        <w:ind w:left="720" w:hanging="360"/>
      </w:pPr>
    </w:lvl>
    <w:lvl w:ilvl="1">
      <w:numFmt w:val="decimal"/>
      <w:isLgl/>
      <w:lvlText w:val="%1.%2"/>
      <w:lvlJc w:val="left"/>
      <w:pPr>
        <w:ind w:left="705" w:hanging="36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1785" w:hanging="1440"/>
      </w:pPr>
      <w:rPr>
        <w:rFonts w:hint="default"/>
      </w:rPr>
    </w:lvl>
  </w:abstractNum>
  <w:abstractNum w:abstractNumId="3">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55ED0"/>
    <w:rsid w:val="00066CCA"/>
    <w:rsid w:val="001F6A61"/>
    <w:rsid w:val="00355ED0"/>
    <w:rsid w:val="0056632B"/>
    <w:rsid w:val="0057699F"/>
    <w:rsid w:val="00721FE7"/>
    <w:rsid w:val="00907D9B"/>
    <w:rsid w:val="00A02AD3"/>
    <w:rsid w:val="00BB092B"/>
    <w:rsid w:val="00C91A33"/>
    <w:rsid w:val="00D06061"/>
    <w:rsid w:val="00D52534"/>
    <w:rsid w:val="00DF7C51"/>
    <w:rsid w:val="00ED06C1"/>
    <w:rsid w:val="00FB08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99F"/>
  </w:style>
  <w:style w:type="paragraph" w:styleId="Heading1">
    <w:name w:val="heading 1"/>
    <w:basedOn w:val="Normal"/>
    <w:next w:val="Normal"/>
    <w:link w:val="Heading1Char"/>
    <w:uiPriority w:val="9"/>
    <w:qFormat/>
    <w:rsid w:val="00355ED0"/>
    <w:pPr>
      <w:keepNext/>
      <w:numPr>
        <w:numId w:val="1"/>
      </w:numPr>
      <w:suppressAutoHyphens/>
      <w:spacing w:after="0" w:line="240" w:lineRule="auto"/>
      <w:outlineLvl w:val="0"/>
    </w:pPr>
    <w:rPr>
      <w:rFonts w:ascii="Times New Roman" w:eastAsia="Times New Roman" w:hAnsi="Times New Roman" w:cs="Times New Roman"/>
      <w:b/>
      <w:sz w:val="20"/>
      <w:szCs w:val="20"/>
      <w:lang w:eastAsia="ar-SA"/>
    </w:rPr>
  </w:style>
  <w:style w:type="paragraph" w:styleId="Heading2">
    <w:name w:val="heading 2"/>
    <w:basedOn w:val="Normal"/>
    <w:next w:val="Normal"/>
    <w:link w:val="Heading2Char"/>
    <w:uiPriority w:val="9"/>
    <w:qFormat/>
    <w:rsid w:val="00355ED0"/>
    <w:pPr>
      <w:keepNext/>
      <w:numPr>
        <w:ilvl w:val="1"/>
        <w:numId w:val="1"/>
      </w:numPr>
      <w:suppressAutoHyphens/>
      <w:spacing w:after="0" w:line="240" w:lineRule="auto"/>
      <w:outlineLvl w:val="1"/>
    </w:pPr>
    <w:rPr>
      <w:rFonts w:ascii="BD Garmonde" w:eastAsia="Times New Roman" w:hAnsi="BD Garmonde" w:cs="Times New Roman"/>
      <w:b/>
      <w:color w:val="000080"/>
      <w:sz w:val="28"/>
      <w:szCs w:val="20"/>
      <w:lang w:val="en-US" w:eastAsia="ar-SA"/>
    </w:rPr>
  </w:style>
  <w:style w:type="paragraph" w:styleId="Heading3">
    <w:name w:val="heading 3"/>
    <w:basedOn w:val="Normal"/>
    <w:next w:val="Normal"/>
    <w:link w:val="Heading3Char"/>
    <w:uiPriority w:val="9"/>
    <w:qFormat/>
    <w:rsid w:val="00355ED0"/>
    <w:pPr>
      <w:keepNext/>
      <w:numPr>
        <w:ilvl w:val="2"/>
        <w:numId w:val="1"/>
      </w:numPr>
      <w:suppressAutoHyphens/>
      <w:spacing w:after="0" w:line="240" w:lineRule="auto"/>
      <w:outlineLvl w:val="2"/>
    </w:pPr>
    <w:rPr>
      <w:rFonts w:ascii="Times New Roman" w:eastAsia="Times New Roman" w:hAnsi="Times New Roman" w:cs="Times New Roman"/>
      <w:b/>
      <w:bCs/>
      <w:sz w:val="24"/>
      <w:szCs w:val="20"/>
      <w:u w:val="single"/>
      <w:lang w:eastAsia="ar-SA"/>
    </w:rPr>
  </w:style>
  <w:style w:type="paragraph" w:styleId="Heading4">
    <w:name w:val="heading 4"/>
    <w:basedOn w:val="Normal"/>
    <w:next w:val="Normal"/>
    <w:link w:val="Heading4Char"/>
    <w:uiPriority w:val="9"/>
    <w:qFormat/>
    <w:rsid w:val="00355ED0"/>
    <w:pPr>
      <w:keepNext/>
      <w:numPr>
        <w:ilvl w:val="3"/>
        <w:numId w:val="1"/>
      </w:numPr>
      <w:tabs>
        <w:tab w:val="left" w:pos="360"/>
      </w:tabs>
      <w:suppressAutoHyphens/>
      <w:spacing w:after="0" w:line="240" w:lineRule="auto"/>
      <w:ind w:left="360" w:hanging="360"/>
      <w:outlineLvl w:val="3"/>
    </w:pPr>
    <w:rPr>
      <w:rFonts w:ascii="Times New Roman" w:eastAsia="Times New Roman" w:hAnsi="Times New Roman" w:cs="Times New Roman"/>
      <w:bCs/>
      <w:sz w:val="24"/>
      <w:szCs w:val="20"/>
      <w:u w:val="single"/>
      <w:lang w:eastAsia="ar-SA"/>
    </w:rPr>
  </w:style>
  <w:style w:type="paragraph" w:styleId="Heading5">
    <w:name w:val="heading 5"/>
    <w:basedOn w:val="Normal"/>
    <w:next w:val="Normal"/>
    <w:link w:val="Heading5Char"/>
    <w:qFormat/>
    <w:rsid w:val="00355ED0"/>
    <w:pPr>
      <w:keepNext/>
      <w:numPr>
        <w:ilvl w:val="4"/>
        <w:numId w:val="1"/>
      </w:numPr>
      <w:tabs>
        <w:tab w:val="left" w:pos="360"/>
      </w:tabs>
      <w:suppressAutoHyphens/>
      <w:spacing w:after="0" w:line="240" w:lineRule="auto"/>
      <w:jc w:val="center"/>
      <w:outlineLvl w:val="4"/>
    </w:pPr>
    <w:rPr>
      <w:rFonts w:ascii="Times New Roman" w:eastAsia="Times New Roman" w:hAnsi="Times New Roman" w:cs="Times New Roman"/>
      <w:sz w:val="24"/>
      <w:szCs w:val="20"/>
      <w:lang w:eastAsia="ar-SA"/>
    </w:rPr>
  </w:style>
  <w:style w:type="paragraph" w:styleId="Heading6">
    <w:name w:val="heading 6"/>
    <w:basedOn w:val="Normal"/>
    <w:next w:val="Normal"/>
    <w:link w:val="Heading6Char"/>
    <w:qFormat/>
    <w:rsid w:val="00355ED0"/>
    <w:pPr>
      <w:keepNext/>
      <w:numPr>
        <w:ilvl w:val="5"/>
        <w:numId w:val="1"/>
      </w:numPr>
      <w:tabs>
        <w:tab w:val="left" w:pos="360"/>
      </w:tabs>
      <w:suppressAutoHyphens/>
      <w:spacing w:after="0" w:line="240" w:lineRule="auto"/>
      <w:jc w:val="center"/>
      <w:outlineLvl w:val="5"/>
    </w:pPr>
    <w:rPr>
      <w:rFonts w:ascii="Times New Roman" w:eastAsia="Times New Roman" w:hAnsi="Times New Roman" w:cs="Times New Roman"/>
      <w:b/>
      <w:bCs/>
      <w:sz w:val="28"/>
      <w:szCs w:val="20"/>
      <w:lang w:eastAsia="ar-SA"/>
    </w:rPr>
  </w:style>
  <w:style w:type="paragraph" w:styleId="Heading7">
    <w:name w:val="heading 7"/>
    <w:basedOn w:val="Normal"/>
    <w:next w:val="Normal"/>
    <w:link w:val="Heading7Char"/>
    <w:qFormat/>
    <w:rsid w:val="00355ED0"/>
    <w:pPr>
      <w:keepNext/>
      <w:numPr>
        <w:ilvl w:val="6"/>
        <w:numId w:val="1"/>
      </w:numPr>
      <w:tabs>
        <w:tab w:val="left" w:pos="360"/>
      </w:tabs>
      <w:suppressAutoHyphens/>
      <w:spacing w:after="0" w:line="240" w:lineRule="auto"/>
      <w:ind w:left="360" w:firstLine="0"/>
      <w:outlineLvl w:val="6"/>
    </w:pPr>
    <w:rPr>
      <w:rFonts w:ascii="Times New Roman" w:eastAsia="Times New Roman" w:hAnsi="Times New Roman" w:cs="Times New Roman"/>
      <w:sz w:val="24"/>
      <w:szCs w:val="20"/>
      <w:lang w:eastAsia="ar-SA"/>
    </w:rPr>
  </w:style>
  <w:style w:type="paragraph" w:styleId="Heading8">
    <w:name w:val="heading 8"/>
    <w:basedOn w:val="Normal"/>
    <w:next w:val="Normal"/>
    <w:link w:val="Heading8Char"/>
    <w:qFormat/>
    <w:rsid w:val="00355ED0"/>
    <w:pPr>
      <w:keepNext/>
      <w:numPr>
        <w:ilvl w:val="7"/>
        <w:numId w:val="1"/>
      </w:numPr>
      <w:tabs>
        <w:tab w:val="left" w:pos="360"/>
      </w:tabs>
      <w:suppressAutoHyphens/>
      <w:spacing w:after="0" w:line="240" w:lineRule="auto"/>
      <w:jc w:val="center"/>
      <w:outlineLvl w:val="7"/>
    </w:pPr>
    <w:rPr>
      <w:rFonts w:ascii="Times New Roman" w:eastAsia="Times New Roman" w:hAnsi="Times New Roman" w:cs="Times New Roman"/>
      <w:b/>
      <w:bCs/>
      <w:sz w:val="32"/>
      <w:szCs w:val="20"/>
      <w:lang w:eastAsia="ar-SA"/>
    </w:rPr>
  </w:style>
  <w:style w:type="paragraph" w:styleId="Heading9">
    <w:name w:val="heading 9"/>
    <w:basedOn w:val="Normal"/>
    <w:next w:val="Normal"/>
    <w:link w:val="Heading9Char"/>
    <w:qFormat/>
    <w:rsid w:val="00355ED0"/>
    <w:pPr>
      <w:keepNext/>
      <w:numPr>
        <w:ilvl w:val="8"/>
        <w:numId w:val="1"/>
      </w:numPr>
      <w:suppressAutoHyphens/>
      <w:spacing w:after="0" w:line="240" w:lineRule="auto"/>
      <w:ind w:left="0" w:firstLine="360"/>
      <w:outlineLvl w:val="8"/>
    </w:pPr>
    <w:rPr>
      <w:rFonts w:ascii="Times New Roman" w:eastAsia="Times New Roman" w:hAnsi="Times New Roman" w:cs="Times New Roman"/>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E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ED0"/>
  </w:style>
  <w:style w:type="paragraph" w:styleId="Footer">
    <w:name w:val="footer"/>
    <w:basedOn w:val="Normal"/>
    <w:link w:val="FooterChar"/>
    <w:uiPriority w:val="99"/>
    <w:unhideWhenUsed/>
    <w:rsid w:val="00355E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ED0"/>
  </w:style>
  <w:style w:type="character" w:customStyle="1" w:styleId="Heading1Char">
    <w:name w:val="Heading 1 Char"/>
    <w:basedOn w:val="DefaultParagraphFont"/>
    <w:link w:val="Heading1"/>
    <w:uiPriority w:val="9"/>
    <w:rsid w:val="00355ED0"/>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uiPriority w:val="9"/>
    <w:rsid w:val="00355ED0"/>
    <w:rPr>
      <w:rFonts w:ascii="BD Garmonde" w:eastAsia="Times New Roman" w:hAnsi="BD Garmonde" w:cs="Times New Roman"/>
      <w:b/>
      <w:color w:val="000080"/>
      <w:sz w:val="28"/>
      <w:szCs w:val="20"/>
      <w:lang w:val="en-US" w:eastAsia="ar-SA"/>
    </w:rPr>
  </w:style>
  <w:style w:type="character" w:customStyle="1" w:styleId="Heading3Char">
    <w:name w:val="Heading 3 Char"/>
    <w:basedOn w:val="DefaultParagraphFont"/>
    <w:link w:val="Heading3"/>
    <w:uiPriority w:val="9"/>
    <w:rsid w:val="00355ED0"/>
    <w:rPr>
      <w:rFonts w:ascii="Times New Roman" w:eastAsia="Times New Roman" w:hAnsi="Times New Roman" w:cs="Times New Roman"/>
      <w:b/>
      <w:bCs/>
      <w:sz w:val="24"/>
      <w:szCs w:val="20"/>
      <w:u w:val="single"/>
      <w:lang w:eastAsia="ar-SA"/>
    </w:rPr>
  </w:style>
  <w:style w:type="character" w:customStyle="1" w:styleId="Heading4Char">
    <w:name w:val="Heading 4 Char"/>
    <w:basedOn w:val="DefaultParagraphFont"/>
    <w:link w:val="Heading4"/>
    <w:uiPriority w:val="9"/>
    <w:rsid w:val="00355ED0"/>
    <w:rPr>
      <w:rFonts w:ascii="Times New Roman" w:eastAsia="Times New Roman" w:hAnsi="Times New Roman" w:cs="Times New Roman"/>
      <w:bCs/>
      <w:sz w:val="24"/>
      <w:szCs w:val="20"/>
      <w:u w:val="single"/>
      <w:lang w:eastAsia="ar-SA"/>
    </w:rPr>
  </w:style>
  <w:style w:type="character" w:customStyle="1" w:styleId="Heading5Char">
    <w:name w:val="Heading 5 Char"/>
    <w:basedOn w:val="DefaultParagraphFont"/>
    <w:link w:val="Heading5"/>
    <w:rsid w:val="00355ED0"/>
    <w:rPr>
      <w:rFonts w:ascii="Times New Roman" w:eastAsia="Times New Roman" w:hAnsi="Times New Roman" w:cs="Times New Roman"/>
      <w:sz w:val="24"/>
      <w:szCs w:val="20"/>
      <w:lang w:eastAsia="ar-SA"/>
    </w:rPr>
  </w:style>
  <w:style w:type="character" w:customStyle="1" w:styleId="Heading6Char">
    <w:name w:val="Heading 6 Char"/>
    <w:basedOn w:val="DefaultParagraphFont"/>
    <w:link w:val="Heading6"/>
    <w:rsid w:val="00355ED0"/>
    <w:rPr>
      <w:rFonts w:ascii="Times New Roman" w:eastAsia="Times New Roman" w:hAnsi="Times New Roman" w:cs="Times New Roman"/>
      <w:b/>
      <w:bCs/>
      <w:sz w:val="28"/>
      <w:szCs w:val="20"/>
      <w:lang w:eastAsia="ar-SA"/>
    </w:rPr>
  </w:style>
  <w:style w:type="character" w:customStyle="1" w:styleId="Heading7Char">
    <w:name w:val="Heading 7 Char"/>
    <w:basedOn w:val="DefaultParagraphFont"/>
    <w:link w:val="Heading7"/>
    <w:rsid w:val="00355ED0"/>
    <w:rPr>
      <w:rFonts w:ascii="Times New Roman" w:eastAsia="Times New Roman" w:hAnsi="Times New Roman" w:cs="Times New Roman"/>
      <w:sz w:val="24"/>
      <w:szCs w:val="20"/>
      <w:lang w:eastAsia="ar-SA"/>
    </w:rPr>
  </w:style>
  <w:style w:type="character" w:customStyle="1" w:styleId="Heading8Char">
    <w:name w:val="Heading 8 Char"/>
    <w:basedOn w:val="DefaultParagraphFont"/>
    <w:link w:val="Heading8"/>
    <w:rsid w:val="00355ED0"/>
    <w:rPr>
      <w:rFonts w:ascii="Times New Roman" w:eastAsia="Times New Roman" w:hAnsi="Times New Roman" w:cs="Times New Roman"/>
      <w:b/>
      <w:bCs/>
      <w:sz w:val="32"/>
      <w:szCs w:val="20"/>
      <w:lang w:eastAsia="ar-SA"/>
    </w:rPr>
  </w:style>
  <w:style w:type="character" w:customStyle="1" w:styleId="Heading9Char">
    <w:name w:val="Heading 9 Char"/>
    <w:basedOn w:val="DefaultParagraphFont"/>
    <w:link w:val="Heading9"/>
    <w:rsid w:val="00355ED0"/>
    <w:rPr>
      <w:rFonts w:ascii="Times New Roman" w:eastAsia="Times New Roman" w:hAnsi="Times New Roman" w:cs="Times New Roman"/>
      <w:sz w:val="24"/>
      <w:szCs w:val="20"/>
      <w:lang w:eastAsia="ar-SA"/>
    </w:rPr>
  </w:style>
  <w:style w:type="table" w:styleId="TableGrid">
    <w:name w:val="Table Grid"/>
    <w:basedOn w:val="TableNormal"/>
    <w:uiPriority w:val="39"/>
    <w:rsid w:val="00A02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F6A61"/>
    <w:pPr>
      <w:spacing w:after="0" w:line="240" w:lineRule="auto"/>
      <w:jc w:val="both"/>
    </w:pPr>
    <w:rPr>
      <w:rFonts w:ascii="Arial" w:eastAsia="Calibri" w:hAnsi="Arial" w:cs="Times New Roman"/>
      <w:sz w:val="24"/>
    </w:rPr>
  </w:style>
  <w:style w:type="character" w:customStyle="1" w:styleId="NoSpacingChar">
    <w:name w:val="No Spacing Char"/>
    <w:link w:val="NoSpacing"/>
    <w:uiPriority w:val="1"/>
    <w:rsid w:val="001F6A61"/>
    <w:rPr>
      <w:rFonts w:ascii="Arial" w:eastAsia="Calibri" w:hAnsi="Arial" w:cs="Times New Roman"/>
      <w:sz w:val="24"/>
    </w:rPr>
  </w:style>
  <w:style w:type="paragraph" w:styleId="HTMLPreformatted">
    <w:name w:val="HTML Preformatted"/>
    <w:basedOn w:val="Normal"/>
    <w:link w:val="HTMLPreformattedChar"/>
    <w:rsid w:val="00ED0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n-US" w:eastAsia="th-TH" w:bidi="th-TH"/>
    </w:rPr>
  </w:style>
  <w:style w:type="character" w:customStyle="1" w:styleId="HTMLPreformattedChar">
    <w:name w:val="HTML Preformatted Char"/>
    <w:basedOn w:val="DefaultParagraphFont"/>
    <w:link w:val="HTMLPreformatted"/>
    <w:rsid w:val="00ED06C1"/>
    <w:rPr>
      <w:rFonts w:ascii="Courier New" w:eastAsia="Times New Roman" w:hAnsi="Courier New" w:cs="Courier New"/>
      <w:color w:val="000000"/>
      <w:sz w:val="20"/>
      <w:szCs w:val="20"/>
      <w:lang w:val="en-US" w:eastAsia="th-TH" w:bidi="th-TH"/>
    </w:rPr>
  </w:style>
  <w:style w:type="paragraph" w:styleId="BalloonText">
    <w:name w:val="Balloon Text"/>
    <w:basedOn w:val="Normal"/>
    <w:link w:val="BalloonTextChar"/>
    <w:uiPriority w:val="99"/>
    <w:semiHidden/>
    <w:unhideWhenUsed/>
    <w:rsid w:val="0072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F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UON</Company>
  <LinksUpToDate>false</LinksUpToDate>
  <CharactersWithSpaces>6497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circlerf</cp:lastModifiedBy>
  <cp:revision>3</cp:revision>
  <dcterms:created xsi:type="dcterms:W3CDTF">2020-09-01T12:52:00Z</dcterms:created>
  <dcterms:modified xsi:type="dcterms:W3CDTF">2020-09-02T08:29:00Z</dcterms:modified>
</cp:coreProperties>
</file>